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24 1 vom 7. Februar 2024</w:t>
      </w:r>
    </w:p>
    <w:p>
      <w:r>
        <w:t>VS Kantonsgericht, 2024-02-07, FR</w:t>
      </w:r>
    </w:p>
    <w:p>
      <w:r>
        <w:rPr>
          <w:b/>
        </w:rPr>
        <w:t xml:space="preserve">Quelle: </w:t>
      </w:r>
      <w:r>
        <w:t>https://mcp.opencaselaw.ch/entscheid/vs_gerichte_F3 24 1</w:t>
      </w:r>
    </w:p>
    <w:p>
      <w:r>
        <w:t>FR: VS_GERICHTE F3 24 1 du 7 février 2024</w:t>
      </w:r>
    </w:p>
    <w:p>
      <w:r>
        <w:t>IT: VS_GERICHTE F3 24 1 del 7 febbraio 2024</w:t>
      </w:r>
    </w:p>
    <w:p>
      <w:pPr>
        <w:pStyle w:val="Heading2"/>
      </w:pPr>
      <w:r>
        <w:t>Regeste</w:t>
      </w:r>
    </w:p>
    <w:p>
      <w:r>
        <w:t>F3 24 1 (CCR 2021/70) ARRÊT DU 7 FÉVRIER 2024 Tribunal cantonal du Valais Cour de droit fiscal Composition : Frédéric Fellay, président ; Dr Thierry Schnyder, juge ; Veronica Trani, juge assesseure ; Angèle de Preux-Bersier, greffière, en la cause X _________, recourante, représentée par Y _________ SA, contre DÉPARTEMENT DES FINANCES ET DE L'ÉNERGIE, autorité attaquée (Soustraction d'impôts cantonaux et communaux, périodes fiscales 2015 à 2017) recours contre la décision du 11 octobre 2021</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9 novembre 2021, celui-ci n’ayant pas été tranché au 31 décembre 2023 par la CCR.</w:t>
      </w:r>
    </w:p>
    <w:p>
      <w:r>
        <w:rPr>
          <w:b/>
        </w:rPr>
        <w:t>E. 1.2</w:t>
      </w:r>
    </w:p>
    <w:p>
      <w:r>
        <w:t>Le recours semble avoir été formé aux noms de X _________ et de son époux, A _________. Cela étant, seule la première est la destinataire de la décision sur réclamation (art. 150 al. 1 dans sa version en vigueur jusqu’au 31 décembre 2023 et 207 al. 3 LF), de sorte qu’elle seule est habilitée à l’attaquer.</w:t>
      </w:r>
    </w:p>
    <w:p>
      <w:r>
        <w:rPr>
          <w:b/>
        </w:rPr>
        <w:t>E. 1.3</w:t>
      </w:r>
    </w:p>
    <w:p>
      <w:r>
        <w:t>Le recours porte sur des amendes pour soustraction fiscale prononcées pour l’ICC 2015 à 2017. Il a été formé régulièrement, de sorte qu’il convient d’entrer en matière (art. 50 al. 1 LHID par renvoi de l’art. 57bis al. 3 LHID ; art. 208 al. 4 LF et art. 150 et 150a LF par renvoi de l’art. 208 al. 5 LF dans leur version en vigueur jusqu’au 31 décembre 2023 ; art. 208 al. 4 LF et art. 150 LF par renvoi de l’art. 208 al. 5 LF).</w:t>
      </w:r>
    </w:p>
    <w:p>
      <w:r>
        <w:rPr>
          <w:b/>
        </w:rPr>
        <w:t>E. 2</w:t>
      </w:r>
    </w:p>
    <w:p>
      <w:r>
        <w:t>LHID ; art. 121 al. 1 LF), il ne ressort nullement du dossier que les autorités fiscales C _________ auraient assuré à la recourante de communiquer le départ définitif du canton de C _________ aux autorités fiscales valaisannes, ce qu’elle n’allègue par ailleurs pas. Les courriels échangés entre J _________ et l’époux de la recourante en mai 2020 démontrent du reste que ces autorités n’étaient pas à même de renseigner valablement le fisc valaisan près de cinq ans après la résiliation du bail sur le territoire du canton. Quoiqu’il en soit, la transmission d'informations entre cantons ne dispense aucunement le contribuable de ses propres obligations (arrêt du Tribunal fédéral 2C_553/2018 du 17 juin 2019 consid. 5.3.3), en particulier celle de collaborer avec ces autorités afin d’assurer une taxation complète et exacte et de faire état de tous les faits pertinents en matière fiscale (art. 131 al. 1, 132 al. 2 et 134 LF). Force est de constater que la recourante n’y a pas satisfait, puisqu’elle n’a, à aucun moment, informé le SCC avoir résilié le bail de son appartement dans le canton de C _________ en 2015 et n’avoir plus été taxée par les autorités fiscales de ce canton depuis lors. Les éléments objectifs de la soustraction prévue à l’art. 203 al. 1 LF sont donc réalisés. La recourante fait preuve d’une mauvaise foi certaine lorsqu’elle soutient avoir cru satisfaire à ses obligations en faisant valoir en déduction des trajets entre son lieu de domicile valaisan et son lieu de travail. Comme l’a relevé le fisc, seules les déclarations 2015 et 2016 laissent apparaître des déductions de trajets en plus d’une déduction de l’abonnement général CFF, lesquels se limitent toutefois à 44 km par jour durant 30 jours alors même que la distance réelle entre le domicile et le lieu de travail de la recourante est de 94 km (https://www.tcs.ch/fr/tools/itineraires-et-plans.php). En outre, la recourante a fait valoir, pour les années considérées, des déductions de 220 jours pour une chambre pour séjour hors du domicile (chambre qu’elle n’a pas louée), ce qui contredit son argument. Finalement et quoi qu’elle en dise, une simple lecture des bordereaux d’impôt notifiés pour ces années lui aurait permis de se rendre compte que l’autorité fiscale valaisanne n’avait pas connaissance du changement de circonstance. Ces</w:t>
      </w:r>
    </w:p>
    <w:p>
      <w:r>
        <w:t>- 10 - décisions étaient accompagnées des formulaires de répartitions intercantonales et il en ressortait clairement que le SCC avait tenu compte d’un revenu imposable en Valais largement inférieur au revenu déterminant pour arrêter le taux (le revenu déterminant hors du canton et non soumis dans ce canton étant expressément mentionné au chiffre 2590). Comme le relève à juste titre l’autorité intimée, le contribuable n’a pas besoin de bénéficier de connaissances particulières pour constater, sur cette base, que seule une partie de ses revenus et de sa fortune est imposée par l’autorité fiscale. Cela est d’autant plus vrai vu l’importance des montants qui ont échappé à toute taxation, soit la totalité des revenus de la recourante pour les années considérées (supra let. E). La recourante n’est dès lors pas crédible lorsqu’elle prétend ne pas s’être rendue compte de la situation en arguant de la volatilité des revenus d’indépendant de son conjoint (cf. ch. 5 du mémoire de recours). La Cour relève au demeurant qu’il ressort du dossier que la recourante a dû payer, à titre d’impôts dans le canton de Vaud, un montant total de 14'348 fr. 25 en 2013, 18'427 fr. 50 en 2014 et 14'570 fr. 25 en 2012. De telles sommes constituent une économie significative d’impôts que tout contribuable diligent placé dans la même situation ne manquerait assurément pas de constater.</w:t>
      </w:r>
    </w:p>
    <w:p>
      <w:r>
        <w:rPr>
          <w:b/>
        </w:rPr>
        <w:t>E. 2.1</w:t>
      </w:r>
    </w:p>
    <w:p>
      <w:r>
        <w:t>Le contribuable qui, intentionnellement ou par négligence, fait en sorte qu'une taxation ne soit pas effectuée alors qu'elle devrait l'être, ou qu'une taxation entrée en force soit incomplète, celui qui, tenu de percevoir un impôt à la source, ne le retient pas ou ne retient qu'un montant insuffisant, que ce soit intentionnellement ou par négligence, celui qui, intentionnellement ou par négligence, obtient une restitution</w:t>
      </w:r>
    </w:p>
    <w:p>
      <w:r>
        <w:t>- 7 - d'impôt illégale ou une remise d'impôt injustifiée, est puni d'une amende. En règle générale, l'amende est fixée au montant simple de l'impôt soustrait. Si la faute est légère, l'amende peut être réduite au tiers de son montant ; si la faute est grave, elle peut être triplée (art. 203 al. 1 et 2 LF ; art. 56 al. 1 LHID). Ces dispositions ont la même teneur que l’art. 175 al. 1 et 2 LIFD, de sorte que la jurisprudence y relative s’applique également pour l’amende fixée en matière d’ICC (arrêt du Tribunal fédéral 2C_700/2022 du 25 novembre 2022 consid. 13.2 et la référence citée).</w:t>
      </w:r>
    </w:p>
    <w:p>
      <w:r>
        <w:rPr>
          <w:b/>
        </w:rPr>
        <w:t>E. 2.2</w:t>
      </w:r>
    </w:p>
    <w:p>
      <w:r>
        <w:t>Pour qu’une soustraction fiscale soit réalisée,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(arrêt du Tribunal fédéral 2C_396/2022 du 7 décembre 2022 consid. 8.1).</w:t>
      </w:r>
    </w:p>
    <w:p>
      <w:r>
        <w:rPr>
          <w:b/>
        </w:rPr>
        <w:t>E. 2.2.1</w:t>
      </w:r>
    </w:p>
    <w:p>
      <w:r>
        <w:t>Une taxation en force demeure incomplète lorsque le contribuable ne fournit aucune indication ou des indications fausses ou incomplètes dans la déclaration d’impôt et les annexes de celle-ci ou encore lorsqu’il ne fournit pas ou ne donne que des renseignements incomplets ou faux en procédure de taxation, de réclamation ou de recours (SANSONETTI/HOSTETTLER : in Commentaire romand LIFD, 2e éd. 2017, n. 10 ad art. 175 LIFD). La perte financière doit être due à un comportement illicite du contribuable. Le comportement illicite réside dans la violation d'une obligation de procédure (cf. art. 132 ss LF), en particulier dans l'obligation de remplir une déclaration d'impôt conforme à la vérité et complète (cf. arrêt du Tribunal fédéral 2C_129/2018 du 24 septembre 2018 consid. 8.1). Il convient à cet égard de rappeler que le contribuable doit faire état de tous les faits, quand bien même il douterait de leur pertinence en matière fiscale, et non simplement les passer sous silence (ibidem). Le contribuable ne peut qu'exceptionnellement se prévaloir du fait que l'insuffisance de la taxation serait due non pas à son comportement, mais à une négligence de l'autorité fiscale et seule une négligence grave entre en ligne de compte (arrêt du Tribunal fédéral 2C_553/2018 du 17 juin 2019 consid. 5.3.2). Lorsque le contribuable peut établir que les inexactitudes ou le caractère lacunaire de la déclaration étaient connus des autorités, lesquelles n'ont volontairement pas respecté leurs obligations en cours de procédure de taxation, il faut admettre que le lien de causalité est rompu (TORRIONE, Les infractions fiscales en matière d'impôts directs et dans le domaine de l'impôt anticipé, des droits de timbre et de la TVA, in Les procédures en droit fiscal, 4ème éd. 2021, p. 1152).</w:t>
      </w:r>
    </w:p>
    <w:p>
      <w:r>
        <w:rPr>
          <w:b/>
        </w:rPr>
        <w:t>E. 2.2.2</w:t>
      </w:r>
    </w:p>
    <w:p>
      <w:r>
        <w:t>La soustraction est punissable aussi bien lorsqu'elle est commise intentionnellement que lorsqu'elle l'est par négligence. La preuve d'un comportement</w:t>
      </w:r>
    </w:p>
    <w:p>
      <w:r>
        <w:t>- 8 -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(arrêt du Tribunal fédéral 2C_11/2018 du 10 décembre 2018 consid. 10.2). En vertu de l'art. 12 al. 3 CP, applicable en matière fiscale, fait preuve de négligence quiconque, par une imprévoyance coupable, agit sans se rendre compte ou sans tenir compte des conséquences de son acte. L'imprévoyance est coupable quand l'auteur n'a pas usé des précautions commandées par les circonstances et par sa situation personnelle. En matière de soustraction d'impôt, l'imprévoyance est coupable lorsque le contribuable ne fait pas preuve de la diligence requise par les circonstances et par sa situation personnelle, caractérisée par sa formation, ses capacités intellectuelles ainsi que son expérience professionnelle. Si le contribuable a des doutes sur ses droits ou obligations, il doit faire en sorte de lever ce doute ou, au moins, en informer l'autorité fiscale (arrêt du Tribunal fédéral 9C_678/2022 du 5 juin 2023 consid. 8.2.3).</w:t>
      </w:r>
    </w:p>
    <w:p>
      <w:r>
        <w:rPr>
          <w:b/>
        </w:rPr>
        <w:t>E. 2.3.1</w:t>
      </w:r>
    </w:p>
    <w:p>
      <w:r>
        <w:t>En l’espèce, l’autorité intimée a retenu que la recourante savait que la répartition intercantonale négociée avec les autorités fiscales C _________ avait pris fin avec son départ du canton de C _________ en 2015. La recourante était consciente qu’elle était depuis lors assujettie à l’impôt cantonal et communal en Valais sur l’ensemble de ses revenus et fortune. Néanmoins, elle avait régulièrement déposé les déclarations d’impôt 2015 à 2017 avec son époux sans informer les autorités fiscales valaisannes qu’il n’existait plus de critère de rattachement avec le canton de C _________ et qu’elle n’y était plus imposée. Elle n’avait pas non plus demandé la correction des bordereaux de taxation notifiés par la suite et avait ainsi échappé à l’imposition de ses revenus et d’une partie de sa fortune.</w:t>
      </w:r>
    </w:p>
    <w:p>
      <w:r>
        <w:rPr>
          <w:b/>
        </w:rPr>
        <w:t>E. 2.3.2</w:t>
      </w:r>
    </w:p>
    <w:p>
      <w:r>
        <w:t>Sans contester ce qui précède, la recourante explique avoir régulièrement rempli les déclarations fiscales avec son époux de manière complète et considère avoir satisfait à ses obligations en déclarant les trajets quotidiens entre son lieu de domicile valaisan et son lieu de travail C _________. Elle remet en cause la réalisation du lien de causalité entre la perte fiscale et son comportement et conteste avoir agi intentionnellement. Selon elle, les autorités valaisannes avaient toutes les informations nécessaires en mains pour savoir que la répartition intercantonale négociée avec les autorités fiscales C _________ n’était plus applicable. Elles ne lui avaient toutefois</w:t>
      </w:r>
    </w:p>
    <w:p>
      <w:r>
        <w:t>- 9 - demandé aucune information complémentaire à ce sujet. La recourante prétend en outre avoir cru que les autorités fiscales des deux cantons avaient communiqué entre elles. Reconnaissant une négligence dans le contrôle des bordereaux de taxation qui lui avaient été notifiés, elle soutient cependant qu’elle ne disposait pas des connaissances suffisantes pour vérifier l’exactitude de la répartition intercantonale et que, compte tenu de la volatilité des revenus de son époux, les différences annuelles d’impôts payés n’avaient pas été suffisants pour qu’elle remarque le caractère incomplet de la taxation.</w:t>
      </w:r>
    </w:p>
    <w:p>
      <w:r>
        <w:rPr>
          <w:b/>
        </w:rPr>
        <w:t>E. 2.3.3</w:t>
      </w:r>
    </w:p>
    <w:p>
      <w:r>
        <w:t>Cette argumentation ne peut pas être suivie. En effet, bien qu’en principe, les autorités fiscales se communiquent gratuitement toutes informations utiles (art. 39 al.</w:t>
      </w:r>
    </w:p>
    <w:p>
      <w:r>
        <w:rPr>
          <w:b/>
        </w:rPr>
        <w:t>E. 2.3.4</w:t>
      </w:r>
    </w:p>
    <w:p>
      <w:r>
        <w:t>Compte tenu de ce qui précède, il convient effectivement de retenir que la recourante a violé ses obligations d’information et qu’aucune négligence grave, susceptible de reléguer à l’arrière-plan le comportement du contribuable, ne peut être reprochée aux autorités fiscales valaisannes. Les informations ressortant de la déclaration d’impôt du couple ne leur permettaient en effet pas de se douter d’un changement de circonstances, tandis que la recourante n’a procédé à aucune rectification suite aux décisions notifiées. C’est bel et bien en raison de son comportement qu’elle a échappé à l’imposition de ses revenus et d’une partie de sa fortune durant trois périodes fiscales. Le lien de causalité n'a donc pas été rompu. Par ailleurs, il faut admettre, au vu des circonstances précédemment évoquées, que la recourante a cherché, à tout le moins par dol éventuel, à échapper à l’imposition de ses avoirs dans le canton du Valais, de sorte qu’un comportement intentionnel doit être retenu.</w:t>
      </w:r>
    </w:p>
    <w:p>
      <w:r>
        <w:rPr>
          <w:b/>
        </w:rPr>
        <w:t>E. 2.4</w:t>
      </w:r>
    </w:p>
    <w:p>
      <w:r>
        <w:t>Partant, c’est à juste titre que le SCC a admis que les éléments objectifs et subjectifs de la soustraction fiscale étaient réalisés en l’espèce.</w:t>
      </w:r>
    </w:p>
    <w:p>
      <w:r>
        <w:rPr>
          <w:b/>
        </w:rPr>
        <w:t>E. 2.5</w:t>
      </w:r>
    </w:p>
    <w:p>
      <w:r>
        <w:t>Pour le surplus, la recourante ne revient pas sur les critères pris en considération par le SCC pour déterminer les amendes litigieuses. Fixées dans le cadre</w:t>
      </w:r>
    </w:p>
    <w:p>
      <w:r>
        <w:t>- 11 - des dispositions applicables (art. 203 al. 1 et 2 LF ; art. 56 al. 1 LHID), en tenant compte, en particulier, de la gravité de la soustraction considérée et de son caractère répété, celles-ci doivent être confirmées.</w:t>
      </w:r>
    </w:p>
    <w:p>
      <w:r>
        <w:rPr>
          <w:b/>
        </w:rPr>
        <w:t>E. 3.1</w:t>
      </w:r>
    </w:p>
    <w:p>
      <w:r>
        <w:t>Attendu ce qui précède, le recours est rejeté (art. 150 al. 3 LF ; art. 80 al. 1 let. e et 60 al. 1 LPJA).</w:t>
      </w:r>
    </w:p>
    <w:p>
      <w:r>
        <w:rPr>
          <w:b/>
        </w:rPr>
        <w:t>E. 3.2</w:t>
      </w:r>
    </w:p>
    <w:p>
      <w:r>
        <w:t>Les frais de la cause, fixés principalement sur le vu des principes de la couverture des frais et de l’équivalence des prestations, à 1500 fr., sont mis à la charge de la recourante, qui succombe et n’a pas droit à des dépens (art. 150 al. 3 LF ; art. 89 al. 1 et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